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03" w:rsidRDefault="00FB0903">
      <w:r>
        <w:rPr>
          <w:noProof/>
        </w:rPr>
        <w:drawing>
          <wp:anchor distT="0" distB="0" distL="114300" distR="114300" simplePos="0" relativeHeight="251659264" behindDoc="0" locked="0" layoutInCell="1" allowOverlap="1" wp14:anchorId="55AFB5A2" wp14:editId="50D7E908">
            <wp:simplePos x="0" y="0"/>
            <wp:positionH relativeFrom="margin">
              <wp:align>right</wp:align>
            </wp:positionH>
            <wp:positionV relativeFrom="paragraph">
              <wp:posOffset>153</wp:posOffset>
            </wp:positionV>
            <wp:extent cx="2336655" cy="731520"/>
            <wp:effectExtent l="0" t="0" r="6985" b="0"/>
            <wp:wrapNone/>
            <wp:docPr id="5" name="Bild 3" descr="Macintosh HD:Users:School:Desktop:ID:Schullogo STSÖ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Macintosh HD:Users:School:Desktop:ID:Schullogo STSÖ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7ECA820" wp14:editId="0CFA9557">
            <wp:extent cx="2072640" cy="692483"/>
            <wp:effectExtent l="0" t="0" r="3810" b="0"/>
            <wp:docPr id="2" name="Grafik 2" descr="Kurt-Körber-Gymnas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t-Körber-Gymnas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29" cy="69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</w:p>
    <w:p w:rsidR="00FB0903" w:rsidRDefault="00FB0903" w:rsidP="00FB0903">
      <w:pPr>
        <w:jc w:val="center"/>
        <w:rPr>
          <w:rFonts w:ascii="Arial Black" w:hAnsi="Arial Black"/>
        </w:rPr>
      </w:pPr>
    </w:p>
    <w:p w:rsidR="00FB0903" w:rsidRDefault="00FB0903" w:rsidP="00FB09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1.2. Qualitätsentwicklung Abitur – Mündliches Abitur</w:t>
      </w:r>
    </w:p>
    <w:p w:rsidR="00122E01" w:rsidRDefault="00122E01" w:rsidP="00FB09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Checkliste Prüfungsgespräch</w:t>
      </w:r>
    </w:p>
    <w:p w:rsidR="00AA03F6" w:rsidRDefault="00AA03F6" w:rsidP="00FB0903">
      <w:pPr>
        <w:jc w:val="center"/>
        <w:rPr>
          <w:rFonts w:ascii="Arial Black" w:hAnsi="Arial Black"/>
        </w:rPr>
      </w:pPr>
    </w:p>
    <w:p w:rsidR="00AA03F6" w:rsidRPr="00AA03F6" w:rsidRDefault="00AA03F6" w:rsidP="00AA03F6">
      <w:pPr>
        <w:rPr>
          <w:rFonts w:asciiTheme="majorHAnsi" w:hAnsiTheme="majorHAnsi" w:cstheme="majorHAnsi"/>
          <w:i/>
        </w:rPr>
      </w:pPr>
      <w:r w:rsidRPr="00AA03F6">
        <w:rPr>
          <w:rFonts w:asciiTheme="majorHAnsi" w:hAnsiTheme="majorHAnsi" w:cstheme="majorHAnsi"/>
          <w:i/>
        </w:rPr>
        <w:t xml:space="preserve">Auftrag: Überprüft die vorhandene Checkliste für das Prüfungsgespräch auf Vollständigkeit bzw. auf Klärungsbedarf. Ergänzt gemeinsam Aspekte, die noch fehlen (u.a. aus fachspezifischer Sicht) und sammelt eventuelle Unklarheiten und Fragen. (ca. 30 </w:t>
      </w:r>
      <w:r>
        <w:rPr>
          <w:rFonts w:asciiTheme="majorHAnsi" w:hAnsiTheme="majorHAnsi" w:cstheme="majorHAnsi"/>
          <w:i/>
        </w:rPr>
        <w:t>min).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122E01" w:rsidTr="00122E01">
        <w:tc>
          <w:tcPr>
            <w:tcW w:w="8500" w:type="dxa"/>
          </w:tcPr>
          <w:p w:rsidR="00122E01" w:rsidRDefault="00122E01" w:rsidP="00122E01">
            <w:r>
              <w:t>Die Kandidaten/-innen werden mit Namen begrüßt und der Beisitzer / die Beisitzerin vorgestellt.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Die Kandidaten/-innen werden zu Beginn kurz über den Ablauf der Prüfung orientiert.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Es wird darauf geachtet, dass zu Beginn des Gesprächs eine Frage gestellt wird, welche einen gewissen Antwortspielraum offen lässt und nicht die Reproduktion von auswendig gelerntem Wissen verlangt.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Es spricht während des Gesprächs hauptsächlich der Kandidat / die Kandidatin und nicht der/die Prüfende.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Die Fragen werden inhaltlich klar und in ruhigem, aber deutlichem Sprechen gestellt.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Es wird darauf geachtet, dass nicht mehrere Teilfragen in einen Satz integriert werden.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Es werden Suggestivfragen vermieden.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Der Prüfling verwendet in angemessener Form fachsprachliche Ausdrücke.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Das Prüfungsgespräch ist von den Anforderungsbereichen her sinnvoll strukturiert.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Im Prüfungsgespräch wird dies durch den Einsatz von Operatoren deutlich</w:t>
            </w:r>
            <w:r w:rsidR="005B5E21">
              <w:t>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Der/die Prüfende lässt die Kandidaten/-innen ausreden</w:t>
            </w:r>
            <w:r w:rsidR="005B5E21">
              <w:t>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Es wird vermieden, zu lange auf der richtigen Beantwortung einer Frage zu beharren? Wird den Kandidaten/-innen allenfalls die Möglichkeit geboten, am Schluss der Prüfung auf nicht beantwortete Fragen zurückzukommen.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Es werden Bezüge zur Präsentation des Prüflings hergestellt, sodass Möglichkeiten bestehen, anhand der Präsentation das Verständnis eines Zusammenhangs zu beweisen.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Es werden ironische oder gar zynische Bemerkungen vermieden.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lastRenderedPageBreak/>
              <w:t>Es werden unklare bzw. unbewusst wertende Rückmeldungen, wie etwa die Verwendung des Prädikates „gut“ bei falschen Antworten vermieden.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Der Übergang zu einem neuen Thema wird sowohl für die Kandidaten/-innen wie auch die Protokoll führenden Beisitzer/-innen deutlich markiert.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Das Gespräch wird in angemessener Form beendet und der Kandidat / die Kandidatin verabschiedet.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Pr="00122E01" w:rsidRDefault="00122E01" w:rsidP="00122E01">
            <w:pPr>
              <w:rPr>
                <w:b/>
              </w:rPr>
            </w:pPr>
            <w:r>
              <w:rPr>
                <w:b/>
              </w:rPr>
              <w:t>Weitere Ergänzungen der Liste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-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-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-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/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c>
          <w:tcPr>
            <w:tcW w:w="8500" w:type="dxa"/>
          </w:tcPr>
          <w:p w:rsidR="00122E01" w:rsidRDefault="00122E01" w:rsidP="00122E01">
            <w:r>
              <w:t>-</w:t>
            </w:r>
          </w:p>
        </w:tc>
        <w:tc>
          <w:tcPr>
            <w:tcW w:w="562" w:type="dxa"/>
          </w:tcPr>
          <w:p w:rsidR="00122E01" w:rsidRDefault="00122E01" w:rsidP="00122E01"/>
        </w:tc>
      </w:tr>
      <w:tr w:rsidR="00122E01" w:rsidTr="00122E01">
        <w:trPr>
          <w:trHeight w:val="3459"/>
        </w:trPr>
        <w:tc>
          <w:tcPr>
            <w:tcW w:w="8500" w:type="dxa"/>
          </w:tcPr>
          <w:p w:rsidR="00122E01" w:rsidRPr="005B5E21" w:rsidRDefault="00122E01" w:rsidP="00122E01">
            <w:pPr>
              <w:rPr>
                <w:b/>
              </w:rPr>
            </w:pPr>
            <w:r w:rsidRPr="005B5E21">
              <w:rPr>
                <w:b/>
              </w:rPr>
              <w:t>Fragen bzw. Unklarheiten</w:t>
            </w:r>
            <w:r w:rsidR="005B5E21" w:rsidRPr="005B5E21">
              <w:rPr>
                <w:b/>
              </w:rPr>
              <w:t>:</w:t>
            </w:r>
          </w:p>
          <w:p w:rsidR="00122E01" w:rsidRDefault="00122E01" w:rsidP="00122E01"/>
          <w:p w:rsidR="00122E01" w:rsidRDefault="005B5E21" w:rsidP="00122E01">
            <w:r>
              <w:t>-</w:t>
            </w:r>
          </w:p>
        </w:tc>
        <w:tc>
          <w:tcPr>
            <w:tcW w:w="562" w:type="dxa"/>
          </w:tcPr>
          <w:p w:rsidR="00122E01" w:rsidRDefault="00122E01" w:rsidP="00122E01"/>
        </w:tc>
      </w:tr>
    </w:tbl>
    <w:p w:rsidR="00FB0903" w:rsidRDefault="00FB0903" w:rsidP="00FB0903">
      <w:pPr>
        <w:jc w:val="center"/>
        <w:rPr>
          <w:rFonts w:ascii="Arial Black" w:hAnsi="Arial Black"/>
        </w:rPr>
      </w:pPr>
    </w:p>
    <w:p w:rsidR="00BF6925" w:rsidRDefault="00BF6925"/>
    <w:p w:rsidR="00BF6925" w:rsidRDefault="00BF6925"/>
    <w:p w:rsidR="008B35CF" w:rsidRDefault="008B35CF"/>
    <w:sectPr w:rsidR="008B35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CF"/>
    <w:rsid w:val="000542D8"/>
    <w:rsid w:val="000B2EB0"/>
    <w:rsid w:val="00122E01"/>
    <w:rsid w:val="005431B7"/>
    <w:rsid w:val="005B5E21"/>
    <w:rsid w:val="008B35CF"/>
    <w:rsid w:val="008E43E1"/>
    <w:rsid w:val="00A05B5D"/>
    <w:rsid w:val="00AA03F6"/>
    <w:rsid w:val="00B31172"/>
    <w:rsid w:val="00BF6925"/>
    <w:rsid w:val="00E958D3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8CB0-FF57-4AC1-9D2A-5ABC4451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Tomicki, Daniel</dc:creator>
  <cp:keywords/>
  <dc:description/>
  <cp:lastModifiedBy>Tomicki, Daniel</cp:lastModifiedBy>
  <cp:revision>3</cp:revision>
  <dcterms:created xsi:type="dcterms:W3CDTF">2021-05-03T01:59:00Z</dcterms:created>
  <dcterms:modified xsi:type="dcterms:W3CDTF">2021-05-03T04:10:00Z</dcterms:modified>
</cp:coreProperties>
</file>