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676" w:tblpY="-374"/>
        <w:tblW w:w="4865" w:type="dxa"/>
        <w:tblInd w:w="0" w:type="dxa"/>
        <w:tblLook w:val="04A0" w:firstRow="1" w:lastRow="0" w:firstColumn="1" w:lastColumn="0" w:noHBand="0" w:noVBand="1"/>
      </w:tblPr>
      <w:tblGrid>
        <w:gridCol w:w="1890"/>
        <w:gridCol w:w="2975"/>
      </w:tblGrid>
      <w:tr w:rsidR="005B765B" w:rsidRPr="00B91F5E" w14:paraId="35076822" w14:textId="77777777" w:rsidTr="00BD3D37">
        <w:tc>
          <w:tcPr>
            <w:tcW w:w="4865" w:type="dxa"/>
            <w:gridSpan w:val="2"/>
          </w:tcPr>
          <w:p w14:paraId="07DDD5F6" w14:textId="57DE5381" w:rsidR="005B765B" w:rsidRPr="00121815" w:rsidRDefault="00DA1653" w:rsidP="00DA1653">
            <w:pPr>
              <w:pStyle w:val="Header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Benefits</w:t>
            </w:r>
          </w:p>
          <w:p w14:paraId="6465EB79" w14:textId="746BBC30" w:rsidR="005B765B" w:rsidRPr="00B91F5E" w:rsidRDefault="00DA1653" w:rsidP="00BD3D37">
            <w:pPr>
              <w:pStyle w:val="Header"/>
              <w:ind w:left="36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2.5.</w:t>
            </w:r>
            <w:r w:rsidR="005B765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Female Pick &amp; Drop Policy</w:t>
            </w:r>
          </w:p>
        </w:tc>
      </w:tr>
      <w:tr w:rsidR="005B765B" w:rsidRPr="00B91F5E" w14:paraId="4F7525C0" w14:textId="77777777" w:rsidTr="00BD3D37">
        <w:tc>
          <w:tcPr>
            <w:tcW w:w="1890" w:type="dxa"/>
          </w:tcPr>
          <w:p w14:paraId="7832BEC2" w14:textId="77777777" w:rsidR="005B765B" w:rsidRPr="00B91F5E" w:rsidRDefault="005B765B" w:rsidP="00BD3D37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Owner</w:t>
            </w:r>
          </w:p>
        </w:tc>
        <w:tc>
          <w:tcPr>
            <w:tcW w:w="2975" w:type="dxa"/>
          </w:tcPr>
          <w:p w14:paraId="4DCD1395" w14:textId="77777777" w:rsidR="005B765B" w:rsidRPr="00B91F5E" w:rsidRDefault="005B765B" w:rsidP="00BD3D37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Real Estate &amp; Administration</w:t>
            </w:r>
          </w:p>
        </w:tc>
      </w:tr>
      <w:tr w:rsidR="005B765B" w:rsidRPr="00B91F5E" w14:paraId="270691DE" w14:textId="77777777" w:rsidTr="00BD3D37">
        <w:tc>
          <w:tcPr>
            <w:tcW w:w="1890" w:type="dxa"/>
          </w:tcPr>
          <w:p w14:paraId="5C3622CC" w14:textId="77777777" w:rsidR="005B765B" w:rsidRPr="00B91F5E" w:rsidRDefault="005B765B" w:rsidP="00BD3D37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Approved By</w:t>
            </w:r>
          </w:p>
        </w:tc>
        <w:tc>
          <w:tcPr>
            <w:tcW w:w="2975" w:type="dxa"/>
          </w:tcPr>
          <w:p w14:paraId="23E1C31A" w14:textId="3DBED5D2" w:rsidR="005B765B" w:rsidRPr="00B91F5E" w:rsidRDefault="00697FC6" w:rsidP="00BD3D37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CPO, CFO, CEO</w:t>
            </w:r>
          </w:p>
        </w:tc>
      </w:tr>
      <w:tr w:rsidR="005B765B" w:rsidRPr="00B91F5E" w14:paraId="464BB710" w14:textId="77777777" w:rsidTr="00BD3D37">
        <w:tc>
          <w:tcPr>
            <w:tcW w:w="1890" w:type="dxa"/>
          </w:tcPr>
          <w:p w14:paraId="4216A7D2" w14:textId="77777777" w:rsidR="005B765B" w:rsidRPr="00B91F5E" w:rsidRDefault="005B765B" w:rsidP="00BD3D37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Version 1.0</w:t>
            </w:r>
          </w:p>
        </w:tc>
        <w:tc>
          <w:tcPr>
            <w:tcW w:w="2975" w:type="dxa"/>
          </w:tcPr>
          <w:p w14:paraId="7A3109A3" w14:textId="023C444C" w:rsidR="005B765B" w:rsidRPr="00B91F5E" w:rsidRDefault="00541DC9" w:rsidP="00BD3D37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</w:t>
            </w:r>
            <w:r w:rsidR="00697FC6">
              <w:rPr>
                <w:sz w:val="18"/>
                <w:szCs w:val="18"/>
              </w:rPr>
              <w:t>/2017</w:t>
            </w:r>
          </w:p>
        </w:tc>
      </w:tr>
      <w:tr w:rsidR="00BD5AEE" w:rsidRPr="00B91F5E" w14:paraId="7735F319" w14:textId="77777777" w:rsidTr="00BD3D37">
        <w:tc>
          <w:tcPr>
            <w:tcW w:w="1890" w:type="dxa"/>
          </w:tcPr>
          <w:p w14:paraId="09002EB8" w14:textId="2604E8CF" w:rsidR="00BD5AEE" w:rsidRPr="00B91F5E" w:rsidRDefault="00BD5AEE" w:rsidP="00BD3D37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2.0</w:t>
            </w:r>
          </w:p>
        </w:tc>
        <w:tc>
          <w:tcPr>
            <w:tcW w:w="2975" w:type="dxa"/>
          </w:tcPr>
          <w:p w14:paraId="670CF593" w14:textId="67C236BF" w:rsidR="00BD5AEE" w:rsidRDefault="00B6106A" w:rsidP="00BD3D37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BD5AEE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6</w:t>
            </w:r>
            <w:r w:rsidR="00BD5AEE">
              <w:rPr>
                <w:sz w:val="18"/>
                <w:szCs w:val="18"/>
              </w:rPr>
              <w:t>/2022</w:t>
            </w:r>
          </w:p>
        </w:tc>
      </w:tr>
    </w:tbl>
    <w:p w14:paraId="1649C3FD" w14:textId="528F8891" w:rsidR="00824B8F" w:rsidRDefault="00824B8F" w:rsidP="009D12D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11F55EB1" w14:textId="77777777" w:rsidR="005B765B" w:rsidRDefault="005B765B" w:rsidP="009D12D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26BBCF4A" w14:textId="77777777" w:rsidR="005D0FD5" w:rsidRDefault="005D0FD5" w:rsidP="009D12D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26F07330" w14:textId="118E9A22" w:rsidR="009D12D5" w:rsidRPr="004D3279" w:rsidRDefault="00983C48" w:rsidP="009D12D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</w:rPr>
      </w:pPr>
      <w:r>
        <w:rPr>
          <w:b/>
          <w:sz w:val="36"/>
          <w:szCs w:val="32"/>
          <w:lang w:val="en-GB"/>
        </w:rPr>
        <w:t xml:space="preserve">2.5. </w:t>
      </w:r>
      <w:r w:rsidR="00177C37">
        <w:rPr>
          <w:b/>
          <w:sz w:val="36"/>
          <w:szCs w:val="32"/>
          <w:lang w:val="en-GB"/>
        </w:rPr>
        <w:t>Female Pick &amp;</w:t>
      </w:r>
      <w:r w:rsidR="00954AF2">
        <w:rPr>
          <w:b/>
          <w:sz w:val="36"/>
          <w:szCs w:val="32"/>
          <w:lang w:val="en-GB"/>
        </w:rPr>
        <w:t xml:space="preserve"> Drop</w:t>
      </w:r>
      <w:r w:rsidR="00137606">
        <w:rPr>
          <w:b/>
          <w:sz w:val="36"/>
          <w:szCs w:val="32"/>
          <w:lang w:val="en-GB"/>
        </w:rPr>
        <w:t xml:space="preserve"> Policy </w:t>
      </w:r>
    </w:p>
    <w:p w14:paraId="124E8393" w14:textId="77777777" w:rsidR="00F22742" w:rsidRPr="00F22742" w:rsidRDefault="00F22742" w:rsidP="00F22742">
      <w:pPr>
        <w:jc w:val="both"/>
        <w:rPr>
          <w:b/>
          <w:color w:val="FF0000"/>
        </w:rPr>
      </w:pPr>
      <w:r w:rsidRPr="00F22742">
        <w:rPr>
          <w:b/>
          <w:bCs/>
          <w:color w:val="FF0000"/>
        </w:rPr>
        <w:t>Features</w:t>
      </w:r>
    </w:p>
    <w:p w14:paraId="691A5B51" w14:textId="56679EA3" w:rsidR="00F22742" w:rsidRPr="00756818" w:rsidRDefault="00F22742" w:rsidP="00F22742">
      <w:pPr>
        <w:jc w:val="both"/>
        <w:rPr>
          <w:b/>
        </w:rPr>
      </w:pPr>
      <w:r w:rsidRPr="00756818">
        <w:rPr>
          <w:b/>
          <w:bCs/>
          <w:i/>
          <w:iCs/>
        </w:rPr>
        <w:t>2.5.1.</w:t>
      </w:r>
      <w:r w:rsidR="00056055" w:rsidRPr="00756818">
        <w:rPr>
          <w:b/>
          <w:bCs/>
          <w:i/>
          <w:iCs/>
        </w:rPr>
        <w:t xml:space="preserve"> </w:t>
      </w:r>
      <w:r w:rsidRPr="00756818">
        <w:rPr>
          <w:b/>
          <w:bCs/>
          <w:i/>
          <w:iCs/>
        </w:rPr>
        <w:t xml:space="preserve">Pick &amp; Drop Rates &amp; </w:t>
      </w:r>
      <w:r w:rsidR="001C5FAF" w:rsidRPr="00756818">
        <w:rPr>
          <w:b/>
          <w:bCs/>
          <w:i/>
          <w:iCs/>
        </w:rPr>
        <w:t>Ti</w:t>
      </w:r>
      <w:r w:rsidR="001C5FAF">
        <w:rPr>
          <w:b/>
          <w:bCs/>
          <w:i/>
          <w:iCs/>
        </w:rPr>
        <w:t>m</w:t>
      </w:r>
      <w:r w:rsidR="001C5FAF" w:rsidRPr="00756818">
        <w:rPr>
          <w:b/>
          <w:bCs/>
          <w:i/>
          <w:iCs/>
        </w:rPr>
        <w:t>ings</w:t>
      </w:r>
      <w:r w:rsidRPr="00756818">
        <w:rPr>
          <w:b/>
          <w:bCs/>
          <w:i/>
          <w:iCs/>
        </w:rPr>
        <w:t xml:space="preserve"> </w:t>
      </w:r>
    </w:p>
    <w:p w14:paraId="6A31565E" w14:textId="77777777" w:rsidR="005C3444" w:rsidRDefault="001C4525" w:rsidP="005C3444">
      <w:pPr>
        <w:pStyle w:val="ListParagraph"/>
        <w:numPr>
          <w:ilvl w:val="3"/>
          <w:numId w:val="7"/>
        </w:numPr>
        <w:tabs>
          <w:tab w:val="num" w:pos="720"/>
        </w:tabs>
        <w:jc w:val="both"/>
      </w:pPr>
      <w:r w:rsidRPr="00F22742">
        <w:t>Yo</w:t>
      </w:r>
      <w:r w:rsidR="00BB2F0A">
        <w:t>u</w:t>
      </w:r>
      <w:r w:rsidR="00AC748F">
        <w:t xml:space="preserve"> can avail the company provided </w:t>
      </w:r>
      <w:r w:rsidRPr="00F22742">
        <w:t xml:space="preserve">transport facility on standard subsidized rates to and from office locations. </w:t>
      </w:r>
    </w:p>
    <w:p w14:paraId="591D49D7" w14:textId="07F46B00" w:rsidR="005C3444" w:rsidRDefault="001C4525" w:rsidP="005C3444">
      <w:pPr>
        <w:pStyle w:val="ListParagraph"/>
        <w:numPr>
          <w:ilvl w:val="3"/>
          <w:numId w:val="7"/>
        </w:numPr>
        <w:tabs>
          <w:tab w:val="num" w:pos="720"/>
        </w:tabs>
        <w:jc w:val="both"/>
      </w:pPr>
      <w:r w:rsidRPr="00F22742">
        <w:t xml:space="preserve">This facility is available as per </w:t>
      </w:r>
      <w:r w:rsidR="007E2B6F">
        <w:t xml:space="preserve">the standard working hours, </w:t>
      </w:r>
      <w:r w:rsidR="006C094D">
        <w:t>0</w:t>
      </w:r>
      <w:r w:rsidR="007E2B6F">
        <w:t>9</w:t>
      </w:r>
      <w:r w:rsidR="006C094D">
        <w:t>:00</w:t>
      </w:r>
      <w:r w:rsidR="007E2B6F">
        <w:t xml:space="preserve"> AM to </w:t>
      </w:r>
      <w:r w:rsidR="006C094D">
        <w:t>0</w:t>
      </w:r>
      <w:r w:rsidR="007E2B6F">
        <w:t>6</w:t>
      </w:r>
      <w:r w:rsidR="006C094D">
        <w:t>:00</w:t>
      </w:r>
      <w:r w:rsidR="007E2B6F">
        <w:t xml:space="preserve"> PM</w:t>
      </w:r>
      <w:r w:rsidRPr="00F22742">
        <w:t xml:space="preserve"> (Monday - Friday). </w:t>
      </w:r>
    </w:p>
    <w:p w14:paraId="1BAB168C" w14:textId="20BB1C9F" w:rsidR="004734B0" w:rsidRPr="00F22742" w:rsidRDefault="001C4525" w:rsidP="005C3444">
      <w:pPr>
        <w:pStyle w:val="ListParagraph"/>
        <w:numPr>
          <w:ilvl w:val="3"/>
          <w:numId w:val="7"/>
        </w:numPr>
        <w:tabs>
          <w:tab w:val="num" w:pos="720"/>
        </w:tabs>
        <w:jc w:val="both"/>
      </w:pPr>
      <w:r w:rsidRPr="00F22742">
        <w:t xml:space="preserve">You can get in touch with People </w:t>
      </w:r>
      <w:r w:rsidR="00B6106A">
        <w:t xml:space="preserve">Experience </w:t>
      </w:r>
      <w:r w:rsidRPr="00F22742">
        <w:t xml:space="preserve">Team to avail this facility. </w:t>
      </w:r>
    </w:p>
    <w:p w14:paraId="0D8CAEE3" w14:textId="77777777" w:rsidR="00F22742" w:rsidRPr="00F22742" w:rsidRDefault="00F22742" w:rsidP="00F22742">
      <w:pPr>
        <w:jc w:val="both"/>
        <w:rPr>
          <w:b/>
          <w:color w:val="FF0000"/>
        </w:rPr>
      </w:pPr>
      <w:r w:rsidRPr="00F22742">
        <w:rPr>
          <w:b/>
          <w:bCs/>
          <w:color w:val="FF0000"/>
        </w:rPr>
        <w:t>Useful Notes</w:t>
      </w:r>
    </w:p>
    <w:p w14:paraId="06C112DB" w14:textId="77777777" w:rsidR="005C3444" w:rsidRDefault="001C4525" w:rsidP="005C3444">
      <w:pPr>
        <w:pStyle w:val="ListParagraph"/>
        <w:numPr>
          <w:ilvl w:val="2"/>
          <w:numId w:val="7"/>
        </w:numPr>
        <w:jc w:val="both"/>
      </w:pPr>
      <w:r w:rsidRPr="003731E8">
        <w:t>The employee contribution for the facility is deducted directly through monthly payroll.</w:t>
      </w:r>
    </w:p>
    <w:p w14:paraId="4E49A2B3" w14:textId="1B6496BD" w:rsidR="00A17155" w:rsidRPr="007A1EDF" w:rsidRDefault="00A17155" w:rsidP="007A1EDF">
      <w:pPr>
        <w:pStyle w:val="ListParagraph"/>
        <w:numPr>
          <w:ilvl w:val="2"/>
          <w:numId w:val="7"/>
        </w:numPr>
        <w:jc w:val="both"/>
      </w:pPr>
      <w:r>
        <w:t xml:space="preserve">Pick and drop facility is subject to availability of the transport route for any </w:t>
      </w:r>
      <w:proofErr w:type="gramStart"/>
      <w:r>
        <w:t>particular location</w:t>
      </w:r>
      <w:proofErr w:type="gramEnd"/>
      <w:r>
        <w:t>.</w:t>
      </w:r>
    </w:p>
    <w:p w14:paraId="3C076AAE" w14:textId="7CF796F1" w:rsidR="004734B0" w:rsidRDefault="001C4525" w:rsidP="005C3444">
      <w:pPr>
        <w:pStyle w:val="ListParagraph"/>
        <w:numPr>
          <w:ilvl w:val="2"/>
          <w:numId w:val="7"/>
        </w:numPr>
        <w:jc w:val="both"/>
      </w:pPr>
      <w:r w:rsidRPr="003731E8">
        <w:t xml:space="preserve">The transport route is defined keeping in mind the facilitation of employees. The route will be shuffled and redefined to allow convenience for all wherever possible. </w:t>
      </w:r>
    </w:p>
    <w:p w14:paraId="63A72979" w14:textId="7023A420" w:rsidR="00A17155" w:rsidRPr="005C3444" w:rsidRDefault="00334A54" w:rsidP="00812898">
      <w:pPr>
        <w:pStyle w:val="ListParagraph"/>
        <w:numPr>
          <w:ilvl w:val="2"/>
          <w:numId w:val="7"/>
        </w:numPr>
        <w:jc w:val="both"/>
      </w:pPr>
      <w:r>
        <w:t>Female employees working</w:t>
      </w:r>
      <w:r w:rsidR="00B76BEF">
        <w:t xml:space="preserve"> </w:t>
      </w:r>
      <w:r>
        <w:t>on</w:t>
      </w:r>
      <w:r w:rsidR="007C69DB">
        <w:t xml:space="preserve"> </w:t>
      </w:r>
      <w:r>
        <w:t>contractual arrangement</w:t>
      </w:r>
      <w:r w:rsidR="00B76BEF">
        <w:t xml:space="preserve"> in Jazz premises (</w:t>
      </w:r>
      <w:r w:rsidR="00812898">
        <w:t xml:space="preserve">only Jazz or third-party contracts, excluding staff working on short-term projects or service contracts) </w:t>
      </w:r>
      <w:r>
        <w:t xml:space="preserve">can also avail this facility </w:t>
      </w:r>
      <w:r w:rsidR="007C69DB">
        <w:t>with similar</w:t>
      </w:r>
      <w:r>
        <w:t xml:space="preserve"> terms and conditions</w:t>
      </w:r>
      <w:r w:rsidR="007C69DB">
        <w:t xml:space="preserve"> applicable</w:t>
      </w:r>
      <w:bookmarkStart w:id="0" w:name="_GoBack"/>
      <w:bookmarkEnd w:id="0"/>
    </w:p>
    <w:sectPr w:rsidR="00A17155" w:rsidRPr="005C3444" w:rsidSect="002C3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C50B" w14:textId="77777777" w:rsidR="00A81F5E" w:rsidRDefault="00A81F5E" w:rsidP="00DD3635">
      <w:pPr>
        <w:spacing w:after="0" w:line="240" w:lineRule="auto"/>
      </w:pPr>
      <w:r>
        <w:separator/>
      </w:r>
    </w:p>
  </w:endnote>
  <w:endnote w:type="continuationSeparator" w:id="0">
    <w:p w14:paraId="62124796" w14:textId="77777777" w:rsidR="00A81F5E" w:rsidRDefault="00A81F5E" w:rsidP="00DD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6335" w14:textId="77777777" w:rsidR="00DC27AF" w:rsidRDefault="00DC2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9E0A" w14:textId="77777777" w:rsidR="00526B39" w:rsidRDefault="006E29FE" w:rsidP="00526B39">
    <w:pPr>
      <w:pStyle w:val="Header"/>
    </w:pPr>
    <w:r>
      <w:rPr>
        <w:noProof/>
      </w:rPr>
      <w:pict w14:anchorId="71D4D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58377" o:spid="_x0000_s2052" type="#_x0000_t75" style="position:absolute;margin-left:0;margin-top:0;width:241.45pt;height:199.2pt;z-index:-251654144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  <w:sdt>
    <w:sdtPr>
      <w:id w:val="-588688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99A3C" w14:textId="77777777" w:rsidR="00526B39" w:rsidRDefault="00526B39" w:rsidP="00526B39">
        <w:pPr>
          <w:pStyle w:val="Foo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E267093" wp14:editId="73B96661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ex="http://schemas.microsoft.com/office/word/2018/wordml/cex">
              <w:pict>
                <v:shapetype w14:anchorId="3E1313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5Ti0ytwIAAH8FAAAO&#10;AAAAAAAAAAAAAAAAAC4CAABkcnMvZTJvRG9jLnhtbFBLAQItABQABgAIAAAAIQBMQZZE2QAAAAMB&#10;AAAPAAAAAAAAAAAAAAAAABEFAABkcnMvZG93bnJldi54bWxQSwUGAAAAAAQABADzAAAAFwYAAAAA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181EB6E8" w14:textId="2281BDC2" w:rsidR="00526B39" w:rsidRPr="00100340" w:rsidRDefault="00526B39" w:rsidP="00526B39">
        <w:pPr>
          <w:pStyle w:val="Footer"/>
          <w:jc w:val="center"/>
          <w:rPr>
            <w:noProof/>
          </w:rPr>
        </w:pPr>
        <w:r>
          <w:tab/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C094D">
          <w:rPr>
            <w:noProof/>
          </w:rPr>
          <w:t>1</w:t>
        </w:r>
        <w:r>
          <w:rPr>
            <w:noProof/>
          </w:rPr>
          <w:fldChar w:fldCharType="end"/>
        </w:r>
      </w:p>
      <w:p w14:paraId="6D5BA437" w14:textId="77777777" w:rsidR="00DD3635" w:rsidRPr="00526B39" w:rsidRDefault="00526B39">
        <w:pPr>
          <w:pStyle w:val="Footer"/>
          <w:rPr>
            <w:rFonts w:cstheme="minorHAnsi"/>
            <w:i/>
            <w:color w:val="A6A6A6" w:themeColor="background1" w:themeShade="A6"/>
            <w:sz w:val="16"/>
            <w:szCs w:val="16"/>
          </w:rPr>
        </w:pPr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The Company, reserves the right to change the said applicable policy (</w:t>
        </w:r>
        <w:proofErr w:type="spellStart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ies</w:t>
        </w:r>
        <w:proofErr w:type="spellEnd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), rules and regulations at its entire discretion, without advance notice, in which case your employment shall be governed by such revised rules and regulations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C30E" w14:textId="77777777" w:rsidR="00DC27AF" w:rsidRDefault="00DC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2EF2" w14:textId="77777777" w:rsidR="00A81F5E" w:rsidRDefault="00A81F5E" w:rsidP="00DD3635">
      <w:pPr>
        <w:spacing w:after="0" w:line="240" w:lineRule="auto"/>
      </w:pPr>
      <w:r>
        <w:separator/>
      </w:r>
    </w:p>
  </w:footnote>
  <w:footnote w:type="continuationSeparator" w:id="0">
    <w:p w14:paraId="4F64A2DC" w14:textId="77777777" w:rsidR="00A81F5E" w:rsidRDefault="00A81F5E" w:rsidP="00DD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B12D" w14:textId="77777777" w:rsidR="00DD3635" w:rsidRDefault="006E29FE">
    <w:pPr>
      <w:pStyle w:val="Header"/>
    </w:pPr>
    <w:r>
      <w:rPr>
        <w:noProof/>
      </w:rPr>
      <w:pict w14:anchorId="6FAA1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630985" o:spid="_x0000_s2050" type="#_x0000_t75" style="position:absolute;margin-left:0;margin-top:0;width:241.45pt;height:199.2pt;z-index:-251657216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D8E6" w14:textId="55C90AA2" w:rsidR="00DD3635" w:rsidRDefault="006E29FE" w:rsidP="00DC27AF">
    <w:pPr>
      <w:pStyle w:val="Header"/>
      <w:jc w:val="right"/>
    </w:pPr>
    <w:r>
      <w:rPr>
        <w:noProof/>
      </w:rPr>
      <w:pict w14:anchorId="6C14B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630986" o:spid="_x0000_s2051" type="#_x0000_t75" style="position:absolute;left:0;text-align:left;margin-left:0;margin-top:0;width:241.45pt;height:199.2pt;z-index:-251656192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312A" w14:textId="77777777" w:rsidR="00DD3635" w:rsidRDefault="006E29FE">
    <w:pPr>
      <w:pStyle w:val="Header"/>
    </w:pPr>
    <w:r>
      <w:rPr>
        <w:noProof/>
      </w:rPr>
      <w:pict w14:anchorId="2A999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630984" o:spid="_x0000_s2049" type="#_x0000_t75" style="position:absolute;margin-left:0;margin-top:0;width:241.45pt;height:199.2pt;z-index:-251658240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E45"/>
    <w:multiLevelType w:val="multilevel"/>
    <w:tmpl w:val="98B616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5"/>
      <w:numFmt w:val="decimal"/>
      <w:isLgl/>
      <w:lvlText w:val="%1.%2."/>
      <w:lvlJc w:val="left"/>
      <w:pPr>
        <w:ind w:left="104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6E7D7E"/>
    <w:multiLevelType w:val="hybridMultilevel"/>
    <w:tmpl w:val="3DAA07AE"/>
    <w:lvl w:ilvl="0" w:tplc="1826AF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BC828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A8049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4F5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E087A9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08E1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9E10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500B5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4D4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A5137"/>
    <w:multiLevelType w:val="hybridMultilevel"/>
    <w:tmpl w:val="FFD08100"/>
    <w:lvl w:ilvl="0" w:tplc="1826AF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A82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70E4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F4E7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DC76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1884B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A0A6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A3860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C0862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F5C1E"/>
    <w:multiLevelType w:val="multilevel"/>
    <w:tmpl w:val="492A6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F746A9"/>
    <w:multiLevelType w:val="hybridMultilevel"/>
    <w:tmpl w:val="F774CA36"/>
    <w:lvl w:ilvl="0" w:tplc="12C42C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A82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70E4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F4E7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DC76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1884B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A0A6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A3860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C0862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152841"/>
    <w:multiLevelType w:val="hybridMultilevel"/>
    <w:tmpl w:val="F1E2FA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8D3E2A"/>
    <w:multiLevelType w:val="hybridMultilevel"/>
    <w:tmpl w:val="74EAAA9E"/>
    <w:lvl w:ilvl="0" w:tplc="E90277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D5"/>
    <w:rsid w:val="00021728"/>
    <w:rsid w:val="0003380A"/>
    <w:rsid w:val="00035CE1"/>
    <w:rsid w:val="00046BD0"/>
    <w:rsid w:val="00056055"/>
    <w:rsid w:val="00063D1D"/>
    <w:rsid w:val="000710DC"/>
    <w:rsid w:val="00081449"/>
    <w:rsid w:val="00081508"/>
    <w:rsid w:val="00082A26"/>
    <w:rsid w:val="00086712"/>
    <w:rsid w:val="000B2849"/>
    <w:rsid w:val="000C2C7D"/>
    <w:rsid w:val="000D1212"/>
    <w:rsid w:val="00110911"/>
    <w:rsid w:val="00127DAC"/>
    <w:rsid w:val="00137606"/>
    <w:rsid w:val="0016443B"/>
    <w:rsid w:val="00177C37"/>
    <w:rsid w:val="001B51DB"/>
    <w:rsid w:val="001B710C"/>
    <w:rsid w:val="001C4525"/>
    <w:rsid w:val="001C5FAF"/>
    <w:rsid w:val="001D0109"/>
    <w:rsid w:val="001F378A"/>
    <w:rsid w:val="00211673"/>
    <w:rsid w:val="00224400"/>
    <w:rsid w:val="002247C6"/>
    <w:rsid w:val="00227EC5"/>
    <w:rsid w:val="0023738F"/>
    <w:rsid w:val="0024187F"/>
    <w:rsid w:val="00250D0B"/>
    <w:rsid w:val="00264015"/>
    <w:rsid w:val="00284E48"/>
    <w:rsid w:val="002A1BDD"/>
    <w:rsid w:val="002A7356"/>
    <w:rsid w:val="002B79AE"/>
    <w:rsid w:val="002C300D"/>
    <w:rsid w:val="002D4D9B"/>
    <w:rsid w:val="00302C33"/>
    <w:rsid w:val="0030441C"/>
    <w:rsid w:val="00311926"/>
    <w:rsid w:val="00334A54"/>
    <w:rsid w:val="00356252"/>
    <w:rsid w:val="0037187F"/>
    <w:rsid w:val="003731E8"/>
    <w:rsid w:val="003803C9"/>
    <w:rsid w:val="00386AFB"/>
    <w:rsid w:val="00394E2B"/>
    <w:rsid w:val="003A28D2"/>
    <w:rsid w:val="003A3482"/>
    <w:rsid w:val="003B121E"/>
    <w:rsid w:val="003D71AA"/>
    <w:rsid w:val="003D79D9"/>
    <w:rsid w:val="00401D84"/>
    <w:rsid w:val="004171F9"/>
    <w:rsid w:val="00440BF8"/>
    <w:rsid w:val="004579DE"/>
    <w:rsid w:val="00461D5C"/>
    <w:rsid w:val="00470C59"/>
    <w:rsid w:val="004734B0"/>
    <w:rsid w:val="004841A2"/>
    <w:rsid w:val="004866EA"/>
    <w:rsid w:val="0049163C"/>
    <w:rsid w:val="004C1138"/>
    <w:rsid w:val="004D3448"/>
    <w:rsid w:val="004D76E5"/>
    <w:rsid w:val="00506ACF"/>
    <w:rsid w:val="00514E78"/>
    <w:rsid w:val="00517D87"/>
    <w:rsid w:val="00526B39"/>
    <w:rsid w:val="00541DC9"/>
    <w:rsid w:val="0056101C"/>
    <w:rsid w:val="0056270D"/>
    <w:rsid w:val="00563E56"/>
    <w:rsid w:val="005716A8"/>
    <w:rsid w:val="00577D59"/>
    <w:rsid w:val="005803CF"/>
    <w:rsid w:val="005A6E8E"/>
    <w:rsid w:val="005B197D"/>
    <w:rsid w:val="005B765B"/>
    <w:rsid w:val="005C189E"/>
    <w:rsid w:val="005C3444"/>
    <w:rsid w:val="005D0FD5"/>
    <w:rsid w:val="005E1809"/>
    <w:rsid w:val="00601531"/>
    <w:rsid w:val="00631650"/>
    <w:rsid w:val="00636920"/>
    <w:rsid w:val="0065638F"/>
    <w:rsid w:val="006641E8"/>
    <w:rsid w:val="00697FC6"/>
    <w:rsid w:val="006A6A3F"/>
    <w:rsid w:val="006C094D"/>
    <w:rsid w:val="006C2FCD"/>
    <w:rsid w:val="006D4CB2"/>
    <w:rsid w:val="006E29FE"/>
    <w:rsid w:val="00704855"/>
    <w:rsid w:val="00707D2D"/>
    <w:rsid w:val="00722FF1"/>
    <w:rsid w:val="00733D69"/>
    <w:rsid w:val="0073564B"/>
    <w:rsid w:val="00756818"/>
    <w:rsid w:val="00760718"/>
    <w:rsid w:val="007646C7"/>
    <w:rsid w:val="00772F54"/>
    <w:rsid w:val="00774818"/>
    <w:rsid w:val="007A1008"/>
    <w:rsid w:val="007A1EDF"/>
    <w:rsid w:val="007C69DB"/>
    <w:rsid w:val="007D1F89"/>
    <w:rsid w:val="007E1715"/>
    <w:rsid w:val="007E1C53"/>
    <w:rsid w:val="007E2B6F"/>
    <w:rsid w:val="007E7165"/>
    <w:rsid w:val="00812898"/>
    <w:rsid w:val="00812FD1"/>
    <w:rsid w:val="00823B1E"/>
    <w:rsid w:val="00824B8F"/>
    <w:rsid w:val="00833717"/>
    <w:rsid w:val="0084468C"/>
    <w:rsid w:val="008465A5"/>
    <w:rsid w:val="00853640"/>
    <w:rsid w:val="00854611"/>
    <w:rsid w:val="008A7BDF"/>
    <w:rsid w:val="008B0406"/>
    <w:rsid w:val="008B53C3"/>
    <w:rsid w:val="008C227E"/>
    <w:rsid w:val="008E5DC8"/>
    <w:rsid w:val="008E637D"/>
    <w:rsid w:val="008F357F"/>
    <w:rsid w:val="0090663F"/>
    <w:rsid w:val="00933D8D"/>
    <w:rsid w:val="00934F25"/>
    <w:rsid w:val="0093625A"/>
    <w:rsid w:val="00954AF2"/>
    <w:rsid w:val="00975A61"/>
    <w:rsid w:val="00983C48"/>
    <w:rsid w:val="00984F43"/>
    <w:rsid w:val="0098624A"/>
    <w:rsid w:val="009A1030"/>
    <w:rsid w:val="009A48F2"/>
    <w:rsid w:val="009D12D5"/>
    <w:rsid w:val="009F0764"/>
    <w:rsid w:val="00A029BC"/>
    <w:rsid w:val="00A17155"/>
    <w:rsid w:val="00A20FD1"/>
    <w:rsid w:val="00A53410"/>
    <w:rsid w:val="00A563D6"/>
    <w:rsid w:val="00A70172"/>
    <w:rsid w:val="00A72C19"/>
    <w:rsid w:val="00A81687"/>
    <w:rsid w:val="00A81F5E"/>
    <w:rsid w:val="00AB463E"/>
    <w:rsid w:val="00AC17C5"/>
    <w:rsid w:val="00AC748F"/>
    <w:rsid w:val="00AD2B32"/>
    <w:rsid w:val="00AE6E29"/>
    <w:rsid w:val="00B128AE"/>
    <w:rsid w:val="00B36483"/>
    <w:rsid w:val="00B5289A"/>
    <w:rsid w:val="00B6106A"/>
    <w:rsid w:val="00B61B0C"/>
    <w:rsid w:val="00B76BEF"/>
    <w:rsid w:val="00B9572F"/>
    <w:rsid w:val="00BA0F1E"/>
    <w:rsid w:val="00BA5339"/>
    <w:rsid w:val="00BB2F0A"/>
    <w:rsid w:val="00BC61D4"/>
    <w:rsid w:val="00BD5AEE"/>
    <w:rsid w:val="00C0413F"/>
    <w:rsid w:val="00C1327F"/>
    <w:rsid w:val="00C21AC5"/>
    <w:rsid w:val="00C25C67"/>
    <w:rsid w:val="00C3286E"/>
    <w:rsid w:val="00C63B2E"/>
    <w:rsid w:val="00C74411"/>
    <w:rsid w:val="00C85A1B"/>
    <w:rsid w:val="00C90893"/>
    <w:rsid w:val="00CC1CD2"/>
    <w:rsid w:val="00CE55BA"/>
    <w:rsid w:val="00D608A2"/>
    <w:rsid w:val="00D7767E"/>
    <w:rsid w:val="00D84758"/>
    <w:rsid w:val="00D9197D"/>
    <w:rsid w:val="00DA1653"/>
    <w:rsid w:val="00DC06AA"/>
    <w:rsid w:val="00DC27AF"/>
    <w:rsid w:val="00DD24AF"/>
    <w:rsid w:val="00DD3635"/>
    <w:rsid w:val="00DE19F1"/>
    <w:rsid w:val="00E07AA6"/>
    <w:rsid w:val="00E1310C"/>
    <w:rsid w:val="00E65117"/>
    <w:rsid w:val="00E7570A"/>
    <w:rsid w:val="00E86B0C"/>
    <w:rsid w:val="00E9443B"/>
    <w:rsid w:val="00EB41D1"/>
    <w:rsid w:val="00ED723A"/>
    <w:rsid w:val="00EE037E"/>
    <w:rsid w:val="00EE702A"/>
    <w:rsid w:val="00F22742"/>
    <w:rsid w:val="00F242F5"/>
    <w:rsid w:val="00F3040F"/>
    <w:rsid w:val="00F53E32"/>
    <w:rsid w:val="00F57EB0"/>
    <w:rsid w:val="00F8361E"/>
    <w:rsid w:val="00FA338A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E20D92"/>
  <w15:docId w15:val="{2660B025-65AE-428A-B453-940F12A4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2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1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1E"/>
  </w:style>
  <w:style w:type="table" w:styleId="TableGrid">
    <w:name w:val="Table Grid"/>
    <w:basedOn w:val="TableNormal"/>
    <w:uiPriority w:val="59"/>
    <w:rsid w:val="003B12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3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35"/>
  </w:style>
  <w:style w:type="paragraph" w:styleId="NoSpacing">
    <w:name w:val="No Spacing"/>
    <w:uiPriority w:val="1"/>
    <w:qFormat/>
    <w:rsid w:val="006D4CB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0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1686-1F51-427B-8B2A-C0565CFD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nida.iftikhar07@mobilink.net</dc:creator>
  <cp:lastModifiedBy>Syed Haseeb Ahmed/PEOPLE&amp;ORG/ISB</cp:lastModifiedBy>
  <cp:revision>10</cp:revision>
  <dcterms:created xsi:type="dcterms:W3CDTF">2022-06-03T06:16:00Z</dcterms:created>
  <dcterms:modified xsi:type="dcterms:W3CDTF">2023-04-10T07:46:00Z</dcterms:modified>
</cp:coreProperties>
</file>